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6E92DC17" w:rsidR="006F3955" w:rsidRPr="008464E9" w:rsidRDefault="008464E9" w:rsidP="000D1CB3">
                                <w:pPr>
                                  <w:jc w:val="center"/>
                                  <w:rPr>
                                    <w:rFonts w:cs="Arial"/>
                                    <w:b/>
                                    <w:color w:val="auto"/>
                                    <w:sz w:val="40"/>
                                    <w:szCs w:val="56"/>
                                  </w:rPr>
                                </w:pPr>
                                <w:r>
                                  <w:rPr>
                                    <w:rFonts w:cs="Arial"/>
                                    <w:b/>
                                    <w:color w:val="auto"/>
                                    <w:sz w:val="40"/>
                                    <w:szCs w:val="56"/>
                                    <w:lang w:val="af-ZA"/>
                                  </w:rPr>
                                  <w:t xml:space="preserve">  </w:t>
                                </w:r>
                                <w:r>
                                  <w:rPr>
                                    <w:rFonts w:cs="Arial"/>
                                    <w:b/>
                                    <w:color w:val="auto"/>
                                    <w:sz w:val="40"/>
                                    <w:szCs w:val="56"/>
                                  </w:rPr>
                                  <w:t xml:space="preserve">Oracle </w:t>
                                </w:r>
                                <w:r w:rsidR="004B4652">
                                  <w:rPr>
                                    <w:rFonts w:cs="Arial"/>
                                    <w:b/>
                                    <w:color w:val="auto"/>
                                    <w:sz w:val="40"/>
                                    <w:szCs w:val="56"/>
                                  </w:rPr>
                                  <w:t>ACS</w:t>
                                </w:r>
                                <w:r>
                                  <w:rPr>
                                    <w:rFonts w:cs="Arial"/>
                                    <w:b/>
                                    <w:color w:val="auto"/>
                                    <w:sz w:val="40"/>
                                    <w:szCs w:val="56"/>
                                  </w:rPr>
                                  <w:t xml:space="preserve"> Support Renewal</w:t>
                                </w:r>
                              </w:p>
                              <w:p w14:paraId="573A4337" w14:textId="77777777" w:rsidR="006F3955" w:rsidRPr="00C46668" w:rsidRDefault="006F3955"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3605974" w14:textId="6E92DC17" w:rsidR="006F3955" w:rsidRPr="008464E9" w:rsidRDefault="008464E9" w:rsidP="000D1CB3">
                          <w:pPr>
                            <w:jc w:val="center"/>
                            <w:rPr>
                              <w:rFonts w:cs="Arial"/>
                              <w:b/>
                              <w:color w:val="auto"/>
                              <w:sz w:val="40"/>
                              <w:szCs w:val="56"/>
                            </w:rPr>
                          </w:pPr>
                          <w:r>
                            <w:rPr>
                              <w:rFonts w:cs="Arial"/>
                              <w:b/>
                              <w:color w:val="auto"/>
                              <w:sz w:val="40"/>
                              <w:szCs w:val="56"/>
                              <w:lang w:val="af-ZA"/>
                            </w:rPr>
                            <w:t xml:space="preserve">  </w:t>
                          </w:r>
                          <w:r>
                            <w:rPr>
                              <w:rFonts w:cs="Arial"/>
                              <w:b/>
                              <w:color w:val="auto"/>
                              <w:sz w:val="40"/>
                              <w:szCs w:val="56"/>
                            </w:rPr>
                            <w:t xml:space="preserve">Oracle </w:t>
                          </w:r>
                          <w:r w:rsidR="004B4652">
                            <w:rPr>
                              <w:rFonts w:cs="Arial"/>
                              <w:b/>
                              <w:color w:val="auto"/>
                              <w:sz w:val="40"/>
                              <w:szCs w:val="56"/>
                            </w:rPr>
                            <w:t>ACS</w:t>
                          </w:r>
                          <w:r>
                            <w:rPr>
                              <w:rFonts w:cs="Arial"/>
                              <w:b/>
                              <w:color w:val="auto"/>
                              <w:sz w:val="40"/>
                              <w:szCs w:val="56"/>
                            </w:rPr>
                            <w:t xml:space="preserve"> Support Renewal</w:t>
                          </w:r>
                        </w:p>
                        <w:p w14:paraId="573A4337" w14:textId="77777777" w:rsidR="006F3955" w:rsidRPr="00C46668" w:rsidRDefault="006F3955" w:rsidP="000D1CB3">
                          <w:pPr>
                            <w:jc w:val="center"/>
                            <w:rPr>
                              <w:b/>
                              <w:color w:val="E36C0A" w:themeColor="accent6" w:themeShade="BF"/>
                              <w:sz w:val="44"/>
                              <w:szCs w:val="56"/>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1A5AEEE" w:rsidR="006F3955" w:rsidRDefault="008464E9" w:rsidP="007C5AE6">
                                      <w:pPr>
                                        <w:rPr>
                                          <w:lang w:val="ka-GE"/>
                                        </w:rPr>
                                      </w:pPr>
                                      <w:r>
                                        <w:t>14</w:t>
                                      </w:r>
                                      <w:r w:rsidR="006F3955">
                                        <w:rPr>
                                          <w:lang w:val="ka-GE"/>
                                        </w:rPr>
                                        <w:t xml:space="preserve"> </w:t>
                                      </w:r>
                                      <w:r>
                                        <w:rPr>
                                          <w:lang w:val="ka-GE"/>
                                        </w:rPr>
                                        <w:t>თებერვალი</w:t>
                                      </w:r>
                                      <w:r w:rsidR="006F3955">
                                        <w:rPr>
                                          <w:lang w:val="ka-GE"/>
                                        </w:rPr>
                                        <w:t xml:space="preserve"> 20</w:t>
                                      </w:r>
                                      <w:r>
                                        <w:rPr>
                                          <w:lang w:val="ka-GE"/>
                                        </w:rPr>
                                        <w:t>20</w:t>
                                      </w:r>
                                    </w:p>
                                    <w:p w14:paraId="5273460A" w14:textId="7E231F71" w:rsidR="006F3955" w:rsidRPr="00415C7C" w:rsidRDefault="008464E9" w:rsidP="008464E9">
                                      <w:pPr>
                                        <w:rPr>
                                          <w:lang w:val="ka-GE"/>
                                        </w:rPr>
                                      </w:pPr>
                                      <w:r>
                                        <w:rPr>
                                          <w:lang w:val="ka-GE"/>
                                        </w:rPr>
                                        <w:t>19</w:t>
                                      </w:r>
                                      <w:r w:rsidR="006F3955">
                                        <w:rPr>
                                          <w:lang w:val="ka-GE"/>
                                        </w:rPr>
                                        <w:t xml:space="preserve"> </w:t>
                                      </w:r>
                                      <w:r>
                                        <w:rPr>
                                          <w:lang w:val="ka-GE"/>
                                        </w:rPr>
                                        <w:t>თებერვალი</w:t>
                                      </w:r>
                                      <w:r w:rsidR="00F94DFC">
                                        <w:rPr>
                                          <w:lang w:val="ka-GE"/>
                                        </w:rPr>
                                        <w:t xml:space="preserve"> 2019</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2D516649" w14:textId="31CE08AC" w:rsidR="006F3955" w:rsidRPr="008464E9" w:rsidRDefault="008464E9" w:rsidP="00313B50">
                                      <w:r>
                                        <w:t>Bcholadze@bog.ge</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21A5AEEE" w:rsidR="006F3955" w:rsidRDefault="008464E9" w:rsidP="007C5AE6">
                                <w:pPr>
                                  <w:rPr>
                                    <w:lang w:val="ka-GE"/>
                                  </w:rPr>
                                </w:pPr>
                                <w:r>
                                  <w:t>14</w:t>
                                </w:r>
                                <w:r w:rsidR="006F3955">
                                  <w:rPr>
                                    <w:lang w:val="ka-GE"/>
                                  </w:rPr>
                                  <w:t xml:space="preserve"> </w:t>
                                </w:r>
                                <w:r>
                                  <w:rPr>
                                    <w:lang w:val="ka-GE"/>
                                  </w:rPr>
                                  <w:t>თებერვალი</w:t>
                                </w:r>
                                <w:r w:rsidR="006F3955">
                                  <w:rPr>
                                    <w:lang w:val="ka-GE"/>
                                  </w:rPr>
                                  <w:t xml:space="preserve"> 20</w:t>
                                </w:r>
                                <w:r>
                                  <w:rPr>
                                    <w:lang w:val="ka-GE"/>
                                  </w:rPr>
                                  <w:t>20</w:t>
                                </w:r>
                              </w:p>
                              <w:p w14:paraId="5273460A" w14:textId="7E231F71" w:rsidR="006F3955" w:rsidRPr="00415C7C" w:rsidRDefault="008464E9" w:rsidP="008464E9">
                                <w:pPr>
                                  <w:rPr>
                                    <w:lang w:val="ka-GE"/>
                                  </w:rPr>
                                </w:pPr>
                                <w:r>
                                  <w:rPr>
                                    <w:lang w:val="ka-GE"/>
                                  </w:rPr>
                                  <w:t>19</w:t>
                                </w:r>
                                <w:r w:rsidR="006F3955">
                                  <w:rPr>
                                    <w:lang w:val="ka-GE"/>
                                  </w:rPr>
                                  <w:t xml:space="preserve"> </w:t>
                                </w:r>
                                <w:r>
                                  <w:rPr>
                                    <w:lang w:val="ka-GE"/>
                                  </w:rPr>
                                  <w:t>თებერვალი</w:t>
                                </w:r>
                                <w:r w:rsidR="00F94DFC">
                                  <w:rPr>
                                    <w:lang w:val="ka-GE"/>
                                  </w:rPr>
                                  <w:t xml:space="preserve"> 2019</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2D516649" w14:textId="31CE08AC" w:rsidR="006F3955" w:rsidRPr="008464E9" w:rsidRDefault="008464E9" w:rsidP="00313B50">
                                <w:r>
                                  <w:t>Bcholadze@bog.ge</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64B6AA8" w14:textId="77777777" w:rsidR="008464E9" w:rsidRPr="008464E9" w:rsidRDefault="008464E9" w:rsidP="008464E9">
      <w:pPr>
        <w:jc w:val="center"/>
        <w:rPr>
          <w:rFonts w:cs="Arial"/>
          <w:b/>
          <w:color w:val="auto"/>
          <w:sz w:val="40"/>
          <w:szCs w:val="56"/>
        </w:rPr>
      </w:pPr>
      <w:r>
        <w:rPr>
          <w:rFonts w:cs="Arial"/>
          <w:b/>
          <w:color w:val="auto"/>
          <w:sz w:val="40"/>
          <w:szCs w:val="56"/>
        </w:rPr>
        <w:t xml:space="preserve">Oracle </w:t>
      </w:r>
      <w:proofErr w:type="spellStart"/>
      <w:r>
        <w:rPr>
          <w:rFonts w:cs="Arial"/>
          <w:b/>
          <w:color w:val="auto"/>
          <w:sz w:val="40"/>
          <w:szCs w:val="56"/>
        </w:rPr>
        <w:t>Exada</w:t>
      </w:r>
      <w:proofErr w:type="spellEnd"/>
      <w:r>
        <w:rPr>
          <w:rFonts w:cs="Arial"/>
          <w:b/>
          <w:color w:val="auto"/>
          <w:sz w:val="40"/>
          <w:szCs w:val="56"/>
        </w:rPr>
        <w:t xml:space="preserve"> Support Renewal</w:t>
      </w:r>
    </w:p>
    <w:p w14:paraId="6531E5D8" w14:textId="77777777" w:rsidR="008464E9" w:rsidRDefault="008464E9" w:rsidP="002A2EFD">
      <w:pPr>
        <w:pStyle w:val="NoSpacing"/>
        <w:tabs>
          <w:tab w:val="center" w:pos="4801"/>
          <w:tab w:val="right" w:pos="9603"/>
        </w:tabs>
        <w:jc w:val="center"/>
        <w:rPr>
          <w:rFonts w:eastAsiaTheme="minorHAnsi" w:cs="Sylfaen"/>
          <w:b/>
          <w:color w:val="auto"/>
          <w:sz w:val="40"/>
          <w:szCs w:val="56"/>
          <w:lang w:eastAsia="en-US"/>
        </w:rPr>
      </w:pPr>
    </w:p>
    <w:p w14:paraId="5176EFB1" w14:textId="21AEB982" w:rsidR="00971FCA" w:rsidRPr="001C15B4" w:rsidRDefault="00FF400F" w:rsidP="002A2EFD">
      <w:pPr>
        <w:pStyle w:val="NoSpacing"/>
        <w:tabs>
          <w:tab w:val="center" w:pos="4801"/>
          <w:tab w:val="right" w:pos="9603"/>
        </w:tabs>
        <w:jc w:val="center"/>
        <w:rPr>
          <w:rFonts w:asciiTheme="minorHAnsi" w:eastAsiaTheme="minorHAnsi" w:hAnsiTheme="minorHAnsi" w:cstheme="minorHAnsi"/>
          <w:b/>
          <w:color w:val="auto"/>
          <w:sz w:val="40"/>
          <w:szCs w:val="56"/>
          <w:lang w:val="ka-GE" w:eastAsia="en-US"/>
        </w:rPr>
      </w:pPr>
      <w:r w:rsidRPr="001C15B4">
        <w:rPr>
          <w:rFonts w:eastAsiaTheme="minorHAnsi" w:cs="Sylfaen"/>
          <w:b/>
          <w:color w:val="auto"/>
          <w:sz w:val="40"/>
          <w:szCs w:val="56"/>
          <w:lang w:val="ka-GE" w:eastAsia="en-US"/>
        </w:rPr>
        <w:t>ტენდერი</w:t>
      </w:r>
    </w:p>
    <w:p w14:paraId="0882EC45" w14:textId="77777777" w:rsidR="00FF400F" w:rsidRPr="001C15B4"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0" w:name="_Toc456350217"/>
      <w:bookmarkStart w:id="1" w:name="_Toc456347628"/>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A479DF">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A479DF">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A479DF">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A479DF">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2EEA738E"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8464E9" w:rsidRPr="008464E9">
        <w:rPr>
          <w:rFonts w:eastAsiaTheme="minorEastAsia" w:cs="Sylfaen"/>
          <w:lang w:val="ka-GE" w:eastAsia="ja-JP"/>
        </w:rPr>
        <w:t xml:space="preserve">Oracle </w:t>
      </w:r>
      <w:r w:rsidR="004B4652">
        <w:rPr>
          <w:rFonts w:eastAsiaTheme="minorEastAsia" w:cs="Sylfaen"/>
          <w:lang w:eastAsia="ja-JP"/>
        </w:rPr>
        <w:t>ACS</w:t>
      </w:r>
      <w:r w:rsidR="008464E9" w:rsidRPr="008464E9">
        <w:rPr>
          <w:rFonts w:eastAsiaTheme="minorEastAsia" w:cs="Sylfaen"/>
          <w:lang w:val="ka-GE" w:eastAsia="ja-JP"/>
        </w:rPr>
        <w:t xml:space="preserve"> Support Renewal</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5AD1AFFB"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8464E9">
        <w:rPr>
          <w:lang w:val="ka-GE"/>
        </w:rPr>
        <w:t xml:space="preserve">დოლარში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11FFE42C" w14:textId="3CAE37B5" w:rsidR="00A66B58" w:rsidRPr="004B4652" w:rsidRDefault="00A66B58" w:rsidP="00A66B58">
      <w:pPr>
        <w:rPr>
          <w:lang w:val="ka-GE"/>
        </w:rPr>
      </w:pPr>
      <w:r w:rsidRPr="00A66B58">
        <w:rPr>
          <w:lang w:val="ka-GE"/>
        </w:rPr>
        <w:t>ხელშეკრულების ფარგლებში ანგარიშსწორება</w:t>
      </w:r>
      <w:r w:rsidRPr="00A66B58">
        <w:t xml:space="preserve"> </w:t>
      </w:r>
      <w:r w:rsidRPr="00A66B58">
        <w:rPr>
          <w:lang w:val="ka-GE"/>
        </w:rPr>
        <w:t xml:space="preserve">განხორციელდება </w:t>
      </w:r>
      <w:r w:rsidR="004B4652">
        <w:rPr>
          <w:lang w:val="ka-GE"/>
        </w:rPr>
        <w:t>მიღება-ჩაბარების გაფორმებიდან 15 კალენდარულ დღეში.</w:t>
      </w:r>
    </w:p>
    <w:p w14:paraId="24C8DC5B" w14:textId="77777777" w:rsidR="00A66B58" w:rsidRDefault="00A66B58" w:rsidP="0038278C">
      <w:pPr>
        <w:rPr>
          <w:rFonts w:cstheme="minorHAnsi"/>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14567248"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მიწოდება განხორციელდეს ხელშეკრულების გაფორმებიდან </w:t>
      </w:r>
      <w:r w:rsidR="008464E9">
        <w:rPr>
          <w:rFonts w:cs="Sylfaen"/>
          <w:lang w:val="ka-GE"/>
        </w:rPr>
        <w:t xml:space="preserve">5 </w:t>
      </w:r>
      <w:r w:rsidRPr="00B8474F">
        <w:rPr>
          <w:rFonts w:cs="Sylfaen"/>
          <w:lang w:val="ka-GE"/>
        </w:rPr>
        <w:t>კალენდარული დღის ვადაში;</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lastRenderedPageBreak/>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1E8F461B" w14:textId="77777777" w:rsidR="00850BA8" w:rsidRPr="009F7ED4" w:rsidRDefault="00850BA8" w:rsidP="00850BA8">
      <w:pPr>
        <w:pStyle w:val="NoSpacing"/>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val="en-US" w:eastAsia="en-US"/>
        </w:rPr>
      </w:pPr>
      <w:bookmarkStart w:id="8" w:name="_Toc22227848"/>
      <w:r w:rsidRPr="00C525A4">
        <w:rPr>
          <w:rFonts w:eastAsiaTheme="minorHAnsi" w:cs="Sylfaen"/>
          <w:color w:val="231F20"/>
          <w:sz w:val="22"/>
          <w:szCs w:val="20"/>
          <w:lang w:eastAsia="en-US"/>
        </w:rPr>
        <w:t>დანართი1: ფასების ცხრილი</w:t>
      </w:r>
      <w:bookmarkEnd w:id="8"/>
    </w:p>
    <w:p w14:paraId="798143FC" w14:textId="77777777" w:rsidR="00C50B02" w:rsidRPr="00C50B02" w:rsidRDefault="00C50B02" w:rsidP="00C50B02">
      <w:pPr>
        <w:pStyle w:val="a0"/>
        <w:numPr>
          <w:ilvl w:val="0"/>
          <w:numId w:val="0"/>
        </w:numPr>
        <w:ind w:left="360"/>
        <w:rPr>
          <w:lang w:eastAsia="en-US"/>
        </w:rPr>
      </w:pPr>
    </w:p>
    <w:tbl>
      <w:tblPr>
        <w:tblStyle w:val="TableGrid1"/>
        <w:tblW w:w="10080" w:type="dxa"/>
        <w:tblInd w:w="108" w:type="dxa"/>
        <w:tblLook w:val="04A0" w:firstRow="1" w:lastRow="0" w:firstColumn="1" w:lastColumn="0" w:noHBand="0" w:noVBand="1"/>
      </w:tblPr>
      <w:tblGrid>
        <w:gridCol w:w="6030"/>
        <w:gridCol w:w="1350"/>
        <w:gridCol w:w="1260"/>
        <w:gridCol w:w="1440"/>
      </w:tblGrid>
      <w:tr w:rsidR="00914816" w:rsidRPr="00BE670B" w14:paraId="5C33D3C6" w14:textId="77777777" w:rsidTr="00E6278E">
        <w:trPr>
          <w:trHeight w:val="755"/>
        </w:trPr>
        <w:tc>
          <w:tcPr>
            <w:tcW w:w="6030" w:type="dxa"/>
            <w:vAlign w:val="center"/>
          </w:tcPr>
          <w:p w14:paraId="099609B3" w14:textId="52300489" w:rsidR="00BE670B" w:rsidRPr="00BE670B" w:rsidRDefault="00BE670B" w:rsidP="00BE670B">
            <w:pPr>
              <w:jc w:val="center"/>
              <w:rPr>
                <w:rFonts w:ascii="Sylfaen" w:hAnsi="Sylfaen" w:cs="Sylfaen"/>
                <w:sz w:val="20"/>
                <w:szCs w:val="20"/>
                <w:lang w:val="ka-GE"/>
              </w:rPr>
            </w:pPr>
            <w:r>
              <w:rPr>
                <w:rFonts w:ascii="Sylfaen" w:hAnsi="Sylfaen" w:cs="Sylfaen"/>
                <w:sz w:val="20"/>
                <w:szCs w:val="20"/>
                <w:lang w:val="ka-GE"/>
              </w:rPr>
              <w:t>მინიმალური სპეციფიკაციები</w:t>
            </w:r>
          </w:p>
        </w:tc>
        <w:tc>
          <w:tcPr>
            <w:tcW w:w="1350" w:type="dxa"/>
            <w:vAlign w:val="center"/>
          </w:tcPr>
          <w:p w14:paraId="5BFEC223" w14:textId="66FB8866" w:rsidR="00BE670B" w:rsidRPr="00BE670B" w:rsidRDefault="00E6278E" w:rsidP="00BE670B">
            <w:pPr>
              <w:jc w:val="center"/>
              <w:rPr>
                <w:rFonts w:ascii="Sylfaen" w:hAnsi="Sylfaen" w:cs="Sylfaen"/>
                <w:sz w:val="20"/>
                <w:szCs w:val="20"/>
                <w:lang w:val="ka-GE"/>
              </w:rPr>
            </w:pPr>
            <w:r>
              <w:rPr>
                <w:rFonts w:ascii="Sylfaen" w:hAnsi="Sylfaen" w:cs="Sylfaen"/>
                <w:sz w:val="20"/>
                <w:szCs w:val="20"/>
                <w:lang w:val="ka-GE"/>
              </w:rPr>
              <w:t>რაოდენობა</w:t>
            </w:r>
          </w:p>
        </w:tc>
        <w:tc>
          <w:tcPr>
            <w:tcW w:w="1260" w:type="dxa"/>
            <w:vAlign w:val="center"/>
          </w:tcPr>
          <w:p w14:paraId="576A95B3" w14:textId="08EBE371" w:rsidR="00BE670B" w:rsidRPr="00BE670B" w:rsidRDefault="00E6278E" w:rsidP="00BE670B">
            <w:pPr>
              <w:jc w:val="center"/>
              <w:rPr>
                <w:rFonts w:ascii="Sylfaen" w:hAnsi="Sylfaen" w:cs="Sylfaen"/>
                <w:sz w:val="20"/>
                <w:szCs w:val="20"/>
                <w:lang w:val="ka-GE"/>
              </w:rPr>
            </w:pPr>
            <w:r>
              <w:rPr>
                <w:rFonts w:ascii="Sylfaen" w:hAnsi="Sylfaen" w:cs="Sylfaen"/>
                <w:sz w:val="20"/>
                <w:szCs w:val="20"/>
                <w:lang w:val="ka-GE"/>
              </w:rPr>
              <w:t>ფასი</w:t>
            </w:r>
          </w:p>
        </w:tc>
        <w:tc>
          <w:tcPr>
            <w:tcW w:w="1440" w:type="dxa"/>
            <w:vAlign w:val="center"/>
          </w:tcPr>
          <w:p w14:paraId="2EFDDDD4" w14:textId="0EFCD0E5" w:rsidR="00BE670B" w:rsidRPr="00E6278E" w:rsidRDefault="00E6278E" w:rsidP="00BE670B">
            <w:pPr>
              <w:jc w:val="center"/>
              <w:rPr>
                <w:rFonts w:ascii="Sylfaen" w:hAnsi="Sylfaen" w:cs="Sylfaen"/>
                <w:sz w:val="20"/>
                <w:szCs w:val="20"/>
              </w:rPr>
            </w:pPr>
            <w:r>
              <w:rPr>
                <w:rFonts w:ascii="Sylfaen" w:hAnsi="Sylfaen" w:cs="Sylfaen"/>
                <w:sz w:val="20"/>
                <w:szCs w:val="20"/>
                <w:lang w:val="ka-GE"/>
              </w:rPr>
              <w:t>ჯამი (</w:t>
            </w:r>
            <w:r>
              <w:rPr>
                <w:rFonts w:ascii="Sylfaen" w:hAnsi="Sylfaen" w:cs="Sylfaen"/>
                <w:sz w:val="20"/>
                <w:szCs w:val="20"/>
                <w:lang w:val="af-ZA"/>
              </w:rPr>
              <w:t xml:space="preserve"> </w:t>
            </w:r>
            <w:r>
              <w:rPr>
                <w:rFonts w:ascii="Sylfaen" w:hAnsi="Sylfaen" w:cs="Sylfaen"/>
                <w:sz w:val="20"/>
                <w:szCs w:val="20"/>
              </w:rPr>
              <w:t>USD)</w:t>
            </w:r>
          </w:p>
        </w:tc>
      </w:tr>
      <w:tr w:rsidR="00914816" w:rsidRPr="00BE670B" w14:paraId="7854733C" w14:textId="77777777" w:rsidTr="00E6278E">
        <w:trPr>
          <w:trHeight w:val="895"/>
        </w:trPr>
        <w:tc>
          <w:tcPr>
            <w:tcW w:w="6030" w:type="dxa"/>
          </w:tcPr>
          <w:p w14:paraId="5E706C20" w14:textId="16FC4F14" w:rsidR="00BE670B" w:rsidRPr="00BE670B" w:rsidRDefault="004B4652" w:rsidP="00E6278E">
            <w:pPr>
              <w:jc w:val="left"/>
              <w:rPr>
                <w:rFonts w:ascii="Sylfaen" w:hAnsi="Sylfaen" w:cs="Sylfaen"/>
                <w:sz w:val="20"/>
                <w:szCs w:val="20"/>
                <w:lang w:val="ka-GE"/>
              </w:rPr>
            </w:pPr>
            <w:r>
              <w:rPr>
                <w:b/>
                <w:bCs/>
              </w:rPr>
              <w:t>Oracle ACS Annual Advanced Support Assistance</w:t>
            </w:r>
          </w:p>
        </w:tc>
        <w:tc>
          <w:tcPr>
            <w:tcW w:w="1350" w:type="dxa"/>
          </w:tcPr>
          <w:p w14:paraId="19F0E48A" w14:textId="0E8A7759" w:rsidR="00BE670B" w:rsidRPr="00E6278E" w:rsidRDefault="00E6278E" w:rsidP="00BE670B">
            <w:pPr>
              <w:jc w:val="left"/>
              <w:rPr>
                <w:rFonts w:ascii="Sylfaen" w:hAnsi="Sylfaen" w:cs="Sylfaen"/>
                <w:sz w:val="20"/>
                <w:szCs w:val="20"/>
              </w:rPr>
            </w:pPr>
            <w:r>
              <w:rPr>
                <w:rFonts w:ascii="Sylfaen" w:hAnsi="Sylfaen" w:cs="Sylfaen"/>
                <w:sz w:val="20"/>
                <w:szCs w:val="20"/>
              </w:rPr>
              <w:t>1</w:t>
            </w:r>
          </w:p>
        </w:tc>
        <w:tc>
          <w:tcPr>
            <w:tcW w:w="1260" w:type="dxa"/>
            <w:vAlign w:val="center"/>
          </w:tcPr>
          <w:p w14:paraId="497C3E9A" w14:textId="2415369B" w:rsidR="00BE670B" w:rsidRPr="00BE670B" w:rsidRDefault="00BE670B" w:rsidP="00BE670B">
            <w:pPr>
              <w:jc w:val="center"/>
              <w:rPr>
                <w:rFonts w:ascii="Sylfaen" w:hAnsi="Sylfaen" w:cs="Sylfaen"/>
                <w:sz w:val="20"/>
                <w:szCs w:val="20"/>
                <w:lang w:val="ka-GE"/>
              </w:rPr>
            </w:pPr>
          </w:p>
        </w:tc>
        <w:tc>
          <w:tcPr>
            <w:tcW w:w="1440" w:type="dxa"/>
          </w:tcPr>
          <w:p w14:paraId="3E7A63D3" w14:textId="77777777" w:rsidR="00BE670B" w:rsidRPr="00BE670B" w:rsidRDefault="00BE670B" w:rsidP="00BE670B">
            <w:pPr>
              <w:jc w:val="left"/>
              <w:rPr>
                <w:rFonts w:ascii="Sylfaen" w:hAnsi="Sylfaen" w:cs="Sylfaen"/>
                <w:sz w:val="20"/>
                <w:szCs w:val="20"/>
                <w:lang w:val="ka-GE"/>
              </w:rPr>
            </w:pPr>
          </w:p>
        </w:tc>
      </w:tr>
      <w:tr w:rsidR="008464E9" w:rsidRPr="00BE670B" w14:paraId="76837EC2" w14:textId="77777777" w:rsidTr="00E6278E">
        <w:trPr>
          <w:trHeight w:val="445"/>
        </w:trPr>
        <w:tc>
          <w:tcPr>
            <w:tcW w:w="6030" w:type="dxa"/>
          </w:tcPr>
          <w:p w14:paraId="2DA2CB7E" w14:textId="77777777" w:rsidR="008464E9" w:rsidRPr="00E6278E" w:rsidRDefault="008464E9" w:rsidP="00BE670B">
            <w:pPr>
              <w:jc w:val="left"/>
              <w:rPr>
                <w:rFonts w:ascii="Sylfaen" w:hAnsi="Sylfaen" w:cs="Sylfaen"/>
                <w:sz w:val="20"/>
                <w:szCs w:val="20"/>
                <w:lang w:val="ka-GE"/>
              </w:rPr>
            </w:pPr>
          </w:p>
          <w:p w14:paraId="5DF1D1FD" w14:textId="0A9E7A34" w:rsidR="008464E9" w:rsidRPr="00E6278E" w:rsidRDefault="004B4652" w:rsidP="00BE670B">
            <w:pPr>
              <w:jc w:val="left"/>
              <w:rPr>
                <w:rFonts w:ascii="Sylfaen" w:hAnsi="Sylfaen" w:cs="Sylfaen"/>
                <w:sz w:val="20"/>
                <w:szCs w:val="20"/>
                <w:lang w:val="ka-GE"/>
              </w:rPr>
            </w:pPr>
            <w:r>
              <w:rPr>
                <w:b/>
                <w:bCs/>
              </w:rPr>
              <w:t xml:space="preserve">Oracle ACS ZFS Storage Appliance </w:t>
            </w:r>
            <w:proofErr w:type="spellStart"/>
            <w:r>
              <w:rPr>
                <w:b/>
                <w:bCs/>
              </w:rPr>
              <w:t>Healthcheck</w:t>
            </w:r>
            <w:proofErr w:type="spellEnd"/>
            <w:r>
              <w:rPr>
                <w:b/>
                <w:bCs/>
              </w:rPr>
              <w:t xml:space="preserve"> </w:t>
            </w:r>
            <w:proofErr w:type="spellStart"/>
            <w:r>
              <w:rPr>
                <w:b/>
                <w:bCs/>
              </w:rPr>
              <w:t>Assesment</w:t>
            </w:r>
            <w:proofErr w:type="spellEnd"/>
            <w:r>
              <w:rPr>
                <w:b/>
                <w:bCs/>
              </w:rPr>
              <w:t xml:space="preserve"> Package </w:t>
            </w:r>
          </w:p>
        </w:tc>
        <w:tc>
          <w:tcPr>
            <w:tcW w:w="1350" w:type="dxa"/>
          </w:tcPr>
          <w:p w14:paraId="2111B672" w14:textId="67330365" w:rsidR="008464E9" w:rsidRPr="00E6278E" w:rsidRDefault="00E6278E" w:rsidP="00BE670B">
            <w:pPr>
              <w:jc w:val="left"/>
              <w:rPr>
                <w:rFonts w:cs="Sylfaen"/>
              </w:rPr>
            </w:pPr>
            <w:r>
              <w:rPr>
                <w:rFonts w:cs="Sylfaen"/>
              </w:rPr>
              <w:t>1</w:t>
            </w:r>
          </w:p>
        </w:tc>
        <w:tc>
          <w:tcPr>
            <w:tcW w:w="1260" w:type="dxa"/>
            <w:vAlign w:val="center"/>
          </w:tcPr>
          <w:p w14:paraId="3F90FD98" w14:textId="77777777" w:rsidR="008464E9" w:rsidRPr="00BE670B" w:rsidRDefault="008464E9" w:rsidP="00BE670B">
            <w:pPr>
              <w:jc w:val="center"/>
              <w:rPr>
                <w:rFonts w:cs="Sylfaen"/>
                <w:lang w:val="ka-GE"/>
              </w:rPr>
            </w:pPr>
          </w:p>
        </w:tc>
        <w:tc>
          <w:tcPr>
            <w:tcW w:w="1440" w:type="dxa"/>
          </w:tcPr>
          <w:p w14:paraId="385D8351" w14:textId="77777777" w:rsidR="008464E9" w:rsidRPr="00BE670B" w:rsidRDefault="008464E9" w:rsidP="00BE670B">
            <w:pPr>
              <w:jc w:val="left"/>
              <w:rPr>
                <w:rFonts w:cs="Sylfaen"/>
                <w:lang w:val="ka-GE"/>
              </w:rPr>
            </w:pPr>
          </w:p>
        </w:tc>
      </w:tr>
      <w:tr w:rsidR="006938CA" w:rsidRPr="00BE670B" w14:paraId="3F7E2999" w14:textId="77777777" w:rsidTr="00E6278E">
        <w:trPr>
          <w:trHeight w:val="436"/>
        </w:trPr>
        <w:tc>
          <w:tcPr>
            <w:tcW w:w="8640" w:type="dxa"/>
            <w:gridSpan w:val="3"/>
            <w:vAlign w:val="center"/>
          </w:tcPr>
          <w:p w14:paraId="5D612C01" w14:textId="382CE817" w:rsidR="006938CA" w:rsidRPr="006938CA" w:rsidRDefault="006938CA" w:rsidP="00BE5383">
            <w:pPr>
              <w:jc w:val="center"/>
              <w:rPr>
                <w:rFonts w:ascii="Sylfaen" w:hAnsi="Sylfaen" w:cs="Sylfaen"/>
                <w:lang w:val="ka-GE"/>
              </w:rPr>
            </w:pPr>
            <w:bookmarkStart w:id="9" w:name="_GoBack"/>
            <w:bookmarkEnd w:id="9"/>
            <w:r w:rsidRPr="006938CA">
              <w:rPr>
                <w:rFonts w:ascii="Sylfaen" w:hAnsi="Sylfaen" w:cs="Sylfaen"/>
                <w:sz w:val="20"/>
                <w:szCs w:val="20"/>
                <w:lang w:val="ka-GE"/>
              </w:rPr>
              <w:t>სულ ფასი:</w:t>
            </w:r>
          </w:p>
        </w:tc>
        <w:tc>
          <w:tcPr>
            <w:tcW w:w="1440" w:type="dxa"/>
          </w:tcPr>
          <w:p w14:paraId="73E1FB9A" w14:textId="77777777" w:rsidR="006938CA" w:rsidRPr="00BE670B" w:rsidRDefault="006938CA" w:rsidP="00BE670B">
            <w:pPr>
              <w:jc w:val="left"/>
              <w:rPr>
                <w:rFonts w:cs="Sylfaen"/>
                <w:lang w:val="ka-GE"/>
              </w:rPr>
            </w:pPr>
          </w:p>
        </w:tc>
      </w:tr>
    </w:tbl>
    <w:p w14:paraId="6809FEBA"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0"/>
      <w:headerReference w:type="first" r:id="rId11"/>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BEE9" w14:textId="77777777" w:rsidR="00A479DF" w:rsidRDefault="00A479DF" w:rsidP="002E7950">
      <w:r>
        <w:separator/>
      </w:r>
    </w:p>
  </w:endnote>
  <w:endnote w:type="continuationSeparator" w:id="0">
    <w:p w14:paraId="6B3D0A33" w14:textId="77777777" w:rsidR="00A479DF" w:rsidRDefault="00A479DF"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4B4652">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4B4652">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065ED" w14:textId="77777777" w:rsidR="00A479DF" w:rsidRDefault="00A479DF" w:rsidP="002E7950">
      <w:r>
        <w:separator/>
      </w:r>
    </w:p>
  </w:footnote>
  <w:footnote w:type="continuationSeparator" w:id="0">
    <w:p w14:paraId="28FD0C62" w14:textId="77777777" w:rsidR="00A479DF" w:rsidRDefault="00A479DF"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8"/>
  </w:num>
  <w:num w:numId="5">
    <w:abstractNumId w:val="7"/>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4"/>
  </w:num>
  <w:num w:numId="8">
    <w:abstractNumId w:val="11"/>
  </w:num>
  <w:num w:numId="9">
    <w:abstractNumId w:val="13"/>
  </w:num>
  <w:num w:numId="10">
    <w:abstractNumId w:val="3"/>
  </w:num>
  <w:num w:numId="11">
    <w:abstractNumId w:val="12"/>
  </w:num>
  <w:num w:numId="12">
    <w:abstractNumId w:val="0"/>
  </w:num>
  <w:num w:numId="13">
    <w:abstractNumId w:val="1"/>
  </w:num>
  <w:num w:numId="14">
    <w:abstractNumId w:val="15"/>
  </w:num>
  <w:num w:numId="15">
    <w:abstractNumId w:val="5"/>
  </w:num>
  <w:num w:numId="16">
    <w:abstractNumId w:val="10"/>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652"/>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479DF"/>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F4490-DDEC-40FF-924F-4FFD96F7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2020-02-14T08:07:00Z</dcterms:created>
  <dcterms:modified xsi:type="dcterms:W3CDTF">2020-02-14T08:07:00Z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